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3159E" w14:textId="77777777" w:rsidR="00526DF1" w:rsidRDefault="00526DF1" w:rsidP="00E8550D"/>
    <w:p w14:paraId="12D9EF86" w14:textId="060318E8" w:rsidR="00FA6E89" w:rsidRDefault="0075161A" w:rsidP="00F93670">
      <w:pPr>
        <w:spacing w:after="160" w:line="259" w:lineRule="auto"/>
        <w:jc w:val="center"/>
        <w:rPr>
          <w:b/>
          <w:bCs/>
          <w:sz w:val="28"/>
          <w:szCs w:val="28"/>
        </w:rPr>
      </w:pPr>
      <w:r>
        <w:rPr>
          <w:b/>
          <w:bCs/>
          <w:sz w:val="28"/>
          <w:szCs w:val="28"/>
        </w:rPr>
        <w:t>“Cleared to Work” FAQ</w:t>
      </w:r>
    </w:p>
    <w:p w14:paraId="55E95AB7" w14:textId="77777777" w:rsidR="0075161A" w:rsidRPr="007F1454" w:rsidRDefault="0075161A" w:rsidP="00F93670">
      <w:pPr>
        <w:spacing w:after="160" w:line="259" w:lineRule="auto"/>
        <w:jc w:val="center"/>
      </w:pPr>
    </w:p>
    <w:p w14:paraId="3CEBCAEF" w14:textId="76C36B4C" w:rsidR="002719FA" w:rsidRPr="007F1454" w:rsidRDefault="0075161A" w:rsidP="0075161A">
      <w:pPr>
        <w:pStyle w:val="ListParagraph"/>
        <w:numPr>
          <w:ilvl w:val="0"/>
          <w:numId w:val="29"/>
        </w:numPr>
        <w:rPr>
          <w:rFonts w:asciiTheme="minorHAnsi" w:hAnsiTheme="minorHAnsi"/>
          <w:b/>
          <w:sz w:val="22"/>
        </w:rPr>
      </w:pPr>
      <w:r w:rsidRPr="007F1454">
        <w:rPr>
          <w:rFonts w:asciiTheme="minorHAnsi" w:hAnsiTheme="minorHAnsi"/>
          <w:b/>
          <w:sz w:val="22"/>
        </w:rPr>
        <w:t xml:space="preserve">My </w:t>
      </w:r>
      <w:proofErr w:type="spellStart"/>
      <w:r w:rsidRPr="007F1454">
        <w:rPr>
          <w:rFonts w:asciiTheme="minorHAnsi" w:hAnsiTheme="minorHAnsi"/>
          <w:b/>
          <w:sz w:val="22"/>
        </w:rPr>
        <w:t>Neocase</w:t>
      </w:r>
      <w:proofErr w:type="spellEnd"/>
      <w:r w:rsidRPr="007F1454">
        <w:rPr>
          <w:rFonts w:asciiTheme="minorHAnsi" w:hAnsiTheme="minorHAnsi"/>
          <w:b/>
          <w:sz w:val="22"/>
        </w:rPr>
        <w:t xml:space="preserve"> Proxy Manager cannot see this information in Workday.</w:t>
      </w:r>
    </w:p>
    <w:p w14:paraId="7C30CA07" w14:textId="41F82D15" w:rsidR="0075161A" w:rsidRPr="007F1454" w:rsidRDefault="0075161A" w:rsidP="00DF2800">
      <w:pPr>
        <w:ind w:left="720"/>
        <w:rPr>
          <w:sz w:val="22"/>
        </w:rPr>
      </w:pPr>
      <w:r w:rsidRPr="007F1454">
        <w:rPr>
          <w:sz w:val="22"/>
        </w:rPr>
        <w:t xml:space="preserve">The </w:t>
      </w:r>
      <w:proofErr w:type="spellStart"/>
      <w:r w:rsidRPr="007F1454">
        <w:rPr>
          <w:sz w:val="22"/>
        </w:rPr>
        <w:t>Neocase</w:t>
      </w:r>
      <w:proofErr w:type="spellEnd"/>
      <w:r w:rsidRPr="007F1454">
        <w:rPr>
          <w:sz w:val="22"/>
        </w:rPr>
        <w:t xml:space="preserve"> Proxy Manager role has access to Manager Tools on the </w:t>
      </w:r>
      <w:proofErr w:type="spellStart"/>
      <w:r w:rsidRPr="007F1454">
        <w:rPr>
          <w:sz w:val="22"/>
        </w:rPr>
        <w:t>WorkLion</w:t>
      </w:r>
      <w:proofErr w:type="spellEnd"/>
      <w:r w:rsidRPr="007F1454">
        <w:rPr>
          <w:sz w:val="22"/>
        </w:rPr>
        <w:t xml:space="preserve"> </w:t>
      </w:r>
      <w:proofErr w:type="gramStart"/>
      <w:r w:rsidRPr="007F1454">
        <w:rPr>
          <w:sz w:val="22"/>
        </w:rPr>
        <w:t>Portal, but</w:t>
      </w:r>
      <w:proofErr w:type="gramEnd"/>
      <w:r w:rsidRPr="007F1454">
        <w:rPr>
          <w:sz w:val="22"/>
        </w:rPr>
        <w:t xml:space="preserve"> is not able to see the status of the hire or onboarding processes in Workday.</w:t>
      </w:r>
    </w:p>
    <w:p w14:paraId="4E2BE0A2" w14:textId="77777777" w:rsidR="00DF2800" w:rsidRPr="007F1454" w:rsidRDefault="00DF2800" w:rsidP="00DF2800">
      <w:pPr>
        <w:ind w:left="720"/>
        <w:rPr>
          <w:sz w:val="22"/>
        </w:rPr>
      </w:pPr>
    </w:p>
    <w:p w14:paraId="7991CD28" w14:textId="4EA74CD5" w:rsidR="005731C8" w:rsidRPr="007F1454" w:rsidRDefault="005731C8" w:rsidP="005731C8">
      <w:pPr>
        <w:pStyle w:val="ListParagraph"/>
        <w:numPr>
          <w:ilvl w:val="0"/>
          <w:numId w:val="29"/>
        </w:numPr>
        <w:rPr>
          <w:rFonts w:asciiTheme="minorHAnsi" w:hAnsiTheme="minorHAnsi"/>
          <w:b/>
          <w:sz w:val="22"/>
        </w:rPr>
      </w:pPr>
      <w:r w:rsidRPr="007F1454">
        <w:rPr>
          <w:rFonts w:asciiTheme="minorHAnsi" w:hAnsiTheme="minorHAnsi"/>
          <w:b/>
          <w:sz w:val="22"/>
        </w:rPr>
        <w:t>I am not able to see Background Check information in Workday.</w:t>
      </w:r>
    </w:p>
    <w:p w14:paraId="69787ED9" w14:textId="23C98BFE" w:rsidR="005731C8" w:rsidRPr="007F1454" w:rsidRDefault="005731C8" w:rsidP="00DF2800">
      <w:pPr>
        <w:ind w:left="720"/>
        <w:rPr>
          <w:sz w:val="22"/>
        </w:rPr>
      </w:pPr>
      <w:r w:rsidRPr="007F1454">
        <w:rPr>
          <w:sz w:val="22"/>
        </w:rPr>
        <w:t>Managers do not have the ability to see the details of an employee’s standard background check in Workday.</w:t>
      </w:r>
      <w:r w:rsidR="00C87097" w:rsidRPr="007F1454">
        <w:rPr>
          <w:sz w:val="22"/>
        </w:rPr>
        <w:t xml:space="preserve"> </w:t>
      </w:r>
      <w:r w:rsidR="00DF2800" w:rsidRPr="007F1454">
        <w:rPr>
          <w:sz w:val="22"/>
        </w:rPr>
        <w:t>Administration of the standard background check for new hires is handled by the Recruiting &amp; Sourcing teams. The hire is not completed in Workday until the background check is complete and the results are deemed “eligible”. When the hire is completed in Workday, the Status Update Email is sent to the Manager. This email confirms the background check is complete.</w:t>
      </w:r>
    </w:p>
    <w:p w14:paraId="0455803F" w14:textId="77777777" w:rsidR="00DF2800" w:rsidRPr="007F1454" w:rsidRDefault="00DF2800" w:rsidP="00DF2800">
      <w:pPr>
        <w:ind w:left="720"/>
        <w:rPr>
          <w:sz w:val="22"/>
        </w:rPr>
      </w:pPr>
    </w:p>
    <w:p w14:paraId="27FDBE56" w14:textId="76985A50" w:rsidR="005731C8" w:rsidRPr="007F1454" w:rsidRDefault="00DF2800" w:rsidP="005731C8">
      <w:pPr>
        <w:pStyle w:val="ListParagraph"/>
        <w:numPr>
          <w:ilvl w:val="0"/>
          <w:numId w:val="29"/>
        </w:numPr>
        <w:rPr>
          <w:rFonts w:asciiTheme="minorHAnsi" w:hAnsiTheme="minorHAnsi"/>
          <w:sz w:val="22"/>
        </w:rPr>
      </w:pPr>
      <w:r w:rsidRPr="007F1454">
        <w:rPr>
          <w:rFonts w:asciiTheme="minorHAnsi" w:hAnsiTheme="minorHAnsi"/>
          <w:b/>
          <w:sz w:val="22"/>
        </w:rPr>
        <w:t>There is no clearance information in</w:t>
      </w:r>
      <w:r w:rsidR="00412404">
        <w:rPr>
          <w:rFonts w:asciiTheme="minorHAnsi" w:hAnsiTheme="minorHAnsi"/>
          <w:b/>
          <w:sz w:val="22"/>
        </w:rPr>
        <w:t xml:space="preserve"> on the Onboarding Status Summary Report</w:t>
      </w:r>
      <w:r w:rsidRPr="007F1454">
        <w:rPr>
          <w:rFonts w:asciiTheme="minorHAnsi" w:hAnsiTheme="minorHAnsi"/>
          <w:b/>
          <w:sz w:val="22"/>
        </w:rPr>
        <w:t>. I know my employee completed them.</w:t>
      </w:r>
    </w:p>
    <w:p w14:paraId="64095535" w14:textId="2D3655F1" w:rsidR="00412404" w:rsidRPr="00412404" w:rsidRDefault="00412404" w:rsidP="00412404">
      <w:pPr>
        <w:ind w:left="720"/>
        <w:rPr>
          <w:sz w:val="22"/>
        </w:rPr>
      </w:pPr>
      <w:r w:rsidRPr="00412404">
        <w:rPr>
          <w:sz w:val="22"/>
        </w:rPr>
        <w:t>If the position in question is the individual’s only position at Penn State:</w:t>
      </w:r>
    </w:p>
    <w:p w14:paraId="7560D497" w14:textId="4DCD9CE8" w:rsidR="00F5241C" w:rsidRPr="007F1454" w:rsidRDefault="00F5241C" w:rsidP="00DF2800">
      <w:pPr>
        <w:pStyle w:val="ListParagraph"/>
        <w:numPr>
          <w:ilvl w:val="0"/>
          <w:numId w:val="30"/>
        </w:numPr>
        <w:rPr>
          <w:rFonts w:asciiTheme="minorHAnsi" w:hAnsiTheme="minorHAnsi"/>
          <w:sz w:val="22"/>
        </w:rPr>
      </w:pPr>
      <w:r w:rsidRPr="007F1454">
        <w:rPr>
          <w:rFonts w:asciiTheme="minorHAnsi" w:hAnsiTheme="minorHAnsi"/>
          <w:sz w:val="22"/>
        </w:rPr>
        <w:t>If the manager is certain the onboarding session has already taken place, but the employee’s clearances are missing in Workday, the employee did not present all three of the clearances and is not eligible to work yet. The manager should reach out to the employee to confirm the status of their clearance applications.</w:t>
      </w:r>
    </w:p>
    <w:p w14:paraId="04DB29CB" w14:textId="77777777" w:rsidR="00F5241C" w:rsidRPr="007F1454" w:rsidRDefault="00F5241C" w:rsidP="00DF2800">
      <w:pPr>
        <w:pStyle w:val="ListParagraph"/>
        <w:numPr>
          <w:ilvl w:val="0"/>
          <w:numId w:val="30"/>
        </w:numPr>
        <w:rPr>
          <w:rFonts w:asciiTheme="minorHAnsi" w:hAnsiTheme="minorHAnsi"/>
          <w:sz w:val="22"/>
        </w:rPr>
      </w:pPr>
      <w:r w:rsidRPr="007F1454">
        <w:rPr>
          <w:rFonts w:asciiTheme="minorHAnsi" w:hAnsiTheme="minorHAnsi"/>
          <w:sz w:val="22"/>
        </w:rPr>
        <w:t xml:space="preserve">If the manager is certain the onboarding session has taken place and the employee has their completed, original clearances, confirm that they are designated a PA Mandated Reporter in Workday. </w:t>
      </w:r>
    </w:p>
    <w:p w14:paraId="6242B490" w14:textId="66DF015F" w:rsidR="00F5241C" w:rsidRPr="007F1454" w:rsidRDefault="00F5241C" w:rsidP="00F5241C">
      <w:pPr>
        <w:pStyle w:val="ListParagraph"/>
        <w:numPr>
          <w:ilvl w:val="1"/>
          <w:numId w:val="30"/>
        </w:numPr>
        <w:rPr>
          <w:rFonts w:asciiTheme="minorHAnsi" w:hAnsiTheme="minorHAnsi"/>
          <w:sz w:val="22"/>
        </w:rPr>
      </w:pPr>
      <w:r w:rsidRPr="007F1454">
        <w:rPr>
          <w:rFonts w:asciiTheme="minorHAnsi" w:hAnsiTheme="minorHAnsi"/>
          <w:sz w:val="22"/>
        </w:rPr>
        <w:t>If they are not, the clearances were not requested. If the manager believes this is an error and the position should be designated PA Mandated Reporter, transfer the manger to the FT or PT Recruiting &amp; Sourcing team (based on position type) for a review of the hire details.</w:t>
      </w:r>
    </w:p>
    <w:p w14:paraId="1444954C" w14:textId="65ADCAE7" w:rsidR="00F5241C" w:rsidRDefault="00F5241C" w:rsidP="00F5241C">
      <w:pPr>
        <w:pStyle w:val="ListParagraph"/>
        <w:numPr>
          <w:ilvl w:val="1"/>
          <w:numId w:val="30"/>
        </w:numPr>
        <w:rPr>
          <w:rFonts w:asciiTheme="minorHAnsi" w:hAnsiTheme="minorHAnsi"/>
          <w:sz w:val="22"/>
        </w:rPr>
      </w:pPr>
      <w:r w:rsidRPr="007F1454">
        <w:rPr>
          <w:rFonts w:asciiTheme="minorHAnsi" w:hAnsiTheme="minorHAnsi"/>
          <w:sz w:val="22"/>
        </w:rPr>
        <w:t>If they are designated, but the clearances were not requested during onboarding, the employee will need to return to their onboarding representative to present the clearances. This was likely a mistake, but the original clearances need to be presented and verified.</w:t>
      </w:r>
    </w:p>
    <w:p w14:paraId="4D71CA51" w14:textId="77777777" w:rsidR="00412404" w:rsidRDefault="00412404" w:rsidP="00412404">
      <w:pPr>
        <w:rPr>
          <w:sz w:val="22"/>
        </w:rPr>
      </w:pPr>
    </w:p>
    <w:p w14:paraId="574DF1BC" w14:textId="0D308F45" w:rsidR="00412404" w:rsidRPr="00412404" w:rsidRDefault="00412404" w:rsidP="00412404">
      <w:pPr>
        <w:ind w:left="720"/>
        <w:rPr>
          <w:sz w:val="22"/>
        </w:rPr>
      </w:pPr>
      <w:r>
        <w:rPr>
          <w:sz w:val="22"/>
        </w:rPr>
        <w:t>If the position in question is an “Add Job”, make sure they are running PSU_REP CR10555. This shows statuses for individuals in an “Add Job” future dated position.</w:t>
      </w:r>
    </w:p>
    <w:p w14:paraId="189BAC11" w14:textId="77777777" w:rsidR="00F5241C" w:rsidRPr="007F1454" w:rsidRDefault="00F5241C" w:rsidP="00F5241C">
      <w:pPr>
        <w:rPr>
          <w:sz w:val="22"/>
        </w:rPr>
      </w:pPr>
    </w:p>
    <w:p w14:paraId="4E0B89A3" w14:textId="5946547B" w:rsidR="00F5241C" w:rsidRPr="007F1454" w:rsidRDefault="00F5241C" w:rsidP="00F5241C">
      <w:pPr>
        <w:pStyle w:val="ListParagraph"/>
        <w:numPr>
          <w:ilvl w:val="0"/>
          <w:numId w:val="29"/>
        </w:numPr>
        <w:rPr>
          <w:rFonts w:asciiTheme="minorHAnsi" w:hAnsiTheme="minorHAnsi"/>
          <w:sz w:val="22"/>
        </w:rPr>
      </w:pPr>
      <w:r w:rsidRPr="007F1454">
        <w:rPr>
          <w:rFonts w:asciiTheme="minorHAnsi" w:hAnsiTheme="minorHAnsi"/>
          <w:b/>
          <w:sz w:val="22"/>
        </w:rPr>
        <w:t>The Onboarding Status Summary Report says the I-9 was completed (shows the date), but the report also shows that “To Do: Complete Section 1 of the I-9” is not complete (in progress).</w:t>
      </w:r>
    </w:p>
    <w:p w14:paraId="54A501E3" w14:textId="18AEA195" w:rsidR="00F5241C" w:rsidRPr="007F1454" w:rsidRDefault="00F5241C" w:rsidP="00F5241C">
      <w:pPr>
        <w:ind w:left="720"/>
        <w:rPr>
          <w:sz w:val="22"/>
        </w:rPr>
      </w:pPr>
      <w:proofErr w:type="gramStart"/>
      <w:r w:rsidRPr="007F1454">
        <w:rPr>
          <w:sz w:val="22"/>
        </w:rPr>
        <w:t>In order for</w:t>
      </w:r>
      <w:proofErr w:type="gramEnd"/>
      <w:r w:rsidRPr="007F1454">
        <w:rPr>
          <w:sz w:val="22"/>
        </w:rPr>
        <w:t xml:space="preserve"> a To Do in Workday to move to the complete column, the employee must “submit” the task in Workday by hitting the button. In the case of Section 1 of the I-9, the employee is directed from the notification to another website when they click the link to complete Section 1. They are sent to Equifax. Once they complete Section 1 in Equifax they need to go back into Workday and “submit” the task as complete. If they don’t remember to do this, the task registers “in progress” on the report. The Manager can ask the employee to open the notification in Workday and “submit”. This is not required, </w:t>
      </w:r>
      <w:proofErr w:type="gramStart"/>
      <w:r w:rsidRPr="007F1454">
        <w:rPr>
          <w:sz w:val="22"/>
        </w:rPr>
        <w:t>as long as</w:t>
      </w:r>
      <w:proofErr w:type="gramEnd"/>
      <w:r w:rsidRPr="007F1454">
        <w:rPr>
          <w:sz w:val="22"/>
        </w:rPr>
        <w:t xml:space="preserve"> the I9 completion data has been entered in Workday, we can confirm this document is complete.</w:t>
      </w:r>
    </w:p>
    <w:p w14:paraId="7E799024" w14:textId="77777777" w:rsidR="00F5241C" w:rsidRPr="007F1454" w:rsidRDefault="00F5241C" w:rsidP="00F5241C">
      <w:pPr>
        <w:rPr>
          <w:sz w:val="22"/>
        </w:rPr>
      </w:pPr>
    </w:p>
    <w:p w14:paraId="5C0AC381" w14:textId="77777777" w:rsidR="00DF2800" w:rsidRPr="007F1454" w:rsidRDefault="00DF2800" w:rsidP="00DF2800">
      <w:pPr>
        <w:ind w:left="720"/>
        <w:rPr>
          <w:sz w:val="22"/>
        </w:rPr>
      </w:pPr>
    </w:p>
    <w:p w14:paraId="28FDBAD8" w14:textId="77777777" w:rsidR="007F1454" w:rsidRPr="007F1454" w:rsidRDefault="007F1454" w:rsidP="007F1454">
      <w:pPr>
        <w:rPr>
          <w:sz w:val="22"/>
        </w:rPr>
      </w:pPr>
    </w:p>
    <w:p w14:paraId="1E7C6231" w14:textId="45128D8F" w:rsidR="007F1454" w:rsidRPr="007F1454" w:rsidRDefault="007F1454" w:rsidP="007F1454">
      <w:pPr>
        <w:pStyle w:val="ListParagraph"/>
        <w:numPr>
          <w:ilvl w:val="0"/>
          <w:numId w:val="29"/>
        </w:numPr>
        <w:rPr>
          <w:rFonts w:asciiTheme="minorHAnsi" w:hAnsiTheme="minorHAnsi"/>
          <w:sz w:val="22"/>
        </w:rPr>
      </w:pPr>
      <w:r w:rsidRPr="007F1454">
        <w:rPr>
          <w:rFonts w:asciiTheme="minorHAnsi" w:hAnsiTheme="minorHAnsi"/>
          <w:b/>
          <w:sz w:val="22"/>
        </w:rPr>
        <w:t>On the Onboarding Status Summary Report, it shows that Section 1 of the I-9 is complete, but the I9 completion date is blank.</w:t>
      </w:r>
    </w:p>
    <w:p w14:paraId="178E31A0" w14:textId="46AB4753" w:rsidR="007F1454" w:rsidRPr="007F1454" w:rsidRDefault="007F1454" w:rsidP="007F1454">
      <w:pPr>
        <w:ind w:left="720"/>
        <w:rPr>
          <w:sz w:val="22"/>
        </w:rPr>
      </w:pPr>
      <w:r w:rsidRPr="007F1454">
        <w:rPr>
          <w:sz w:val="22"/>
        </w:rPr>
        <w:t xml:space="preserve">The </w:t>
      </w:r>
      <w:proofErr w:type="gramStart"/>
      <w:r w:rsidRPr="007F1454">
        <w:rPr>
          <w:sz w:val="22"/>
        </w:rPr>
        <w:t>To</w:t>
      </w:r>
      <w:proofErr w:type="gramEnd"/>
      <w:r w:rsidRPr="007F1454">
        <w:rPr>
          <w:sz w:val="22"/>
        </w:rPr>
        <w:t xml:space="preserve"> Do only tracks the status of Section 1 of the I9. The I9 Completion Date column/field indicates when Section 2 is complete. If this field is blank, the individual has not attended onboarding. The manager should reach out to the employee to confirm that they have scheduled their onboarding session prior to or on their first day of work.</w:t>
      </w:r>
      <w:bookmarkStart w:id="0" w:name="_GoBack"/>
      <w:bookmarkEnd w:id="0"/>
    </w:p>
    <w:sectPr w:rsidR="007F1454" w:rsidRPr="007F1454" w:rsidSect="00D35BF8">
      <w:headerReference w:type="default" r:id="rId8"/>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A0257" w14:textId="77777777" w:rsidR="001A1252" w:rsidRDefault="001A1252" w:rsidP="00A00CD9">
      <w:r>
        <w:separator/>
      </w:r>
    </w:p>
  </w:endnote>
  <w:endnote w:type="continuationSeparator" w:id="0">
    <w:p w14:paraId="7B54FE83" w14:textId="77777777" w:rsidR="001A1252" w:rsidRDefault="001A1252" w:rsidP="00A0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Medium">
    <w:altName w:val="Trebuchet MS"/>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6A8A5" w14:textId="77777777" w:rsidR="004C48A4" w:rsidRDefault="004C48A4" w:rsidP="002D159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CC521D" w14:textId="77777777" w:rsidR="004C48A4" w:rsidRDefault="004C48A4" w:rsidP="004C4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0787E" w14:textId="77777777" w:rsidR="004C48A4" w:rsidRDefault="004C48A4" w:rsidP="002D159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1454">
      <w:rPr>
        <w:rStyle w:val="PageNumber"/>
        <w:noProof/>
      </w:rPr>
      <w:t>1</w:t>
    </w:r>
    <w:r>
      <w:rPr>
        <w:rStyle w:val="PageNumber"/>
      </w:rPr>
      <w:fldChar w:fldCharType="end"/>
    </w:r>
  </w:p>
  <w:p w14:paraId="5FA8A173" w14:textId="33784891" w:rsidR="004C48A4" w:rsidRDefault="008454DC" w:rsidP="004C48A4">
    <w:pPr>
      <w:pStyle w:val="Footer"/>
      <w:ind w:right="360"/>
    </w:pPr>
    <w:r>
      <w:t>Created</w:t>
    </w:r>
    <w:r w:rsidR="004C48A4">
      <w:t xml:space="preserve">: </w:t>
    </w:r>
    <w:r w:rsidR="007F1454">
      <w:t>05/22/2018</w:t>
    </w:r>
  </w:p>
  <w:p w14:paraId="7343EA7C" w14:textId="1D388C6F" w:rsidR="008454DC" w:rsidRDefault="007F1454" w:rsidP="004C48A4">
    <w:pPr>
      <w:pStyle w:val="Footer"/>
      <w:ind w:right="360"/>
    </w:pPr>
    <w:r>
      <w:t xml:space="preserve">Revised: </w:t>
    </w:r>
    <w:r w:rsidR="00412404">
      <w:t>09/05/2018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225CD" w14:textId="77777777" w:rsidR="001A1252" w:rsidRDefault="001A1252" w:rsidP="00A00CD9">
      <w:r>
        <w:separator/>
      </w:r>
    </w:p>
  </w:footnote>
  <w:footnote w:type="continuationSeparator" w:id="0">
    <w:p w14:paraId="5D1F7F06" w14:textId="77777777" w:rsidR="001A1252" w:rsidRDefault="001A1252" w:rsidP="00A00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B9651" w14:textId="427B5385" w:rsidR="00E8550D" w:rsidRPr="00526DF1" w:rsidRDefault="002C2BA5" w:rsidP="00E8550D">
    <w:pPr>
      <w:pStyle w:val="Header"/>
      <w:jc w:val="right"/>
      <w:rPr>
        <w:rFonts w:ascii="Avenir Medium" w:hAnsi="Avenir Medium"/>
        <w:b/>
        <w:sz w:val="18"/>
      </w:rPr>
    </w:pPr>
    <w:r w:rsidRPr="00E8550D">
      <w:rPr>
        <w:rFonts w:ascii="Avenir Medium" w:hAnsi="Avenir Medium"/>
        <w:b/>
        <w:noProof/>
        <w:sz w:val="20"/>
        <w:szCs w:val="18"/>
      </w:rPr>
      <w:drawing>
        <wp:anchor distT="0" distB="0" distL="114300" distR="114300" simplePos="0" relativeHeight="251657216" behindDoc="0" locked="0" layoutInCell="1" allowOverlap="1" wp14:anchorId="78CC0824" wp14:editId="64BB382D">
          <wp:simplePos x="0" y="0"/>
          <wp:positionH relativeFrom="column">
            <wp:posOffset>13335</wp:posOffset>
          </wp:positionH>
          <wp:positionV relativeFrom="paragraph">
            <wp:posOffset>2540</wp:posOffset>
          </wp:positionV>
          <wp:extent cx="2269490" cy="650240"/>
          <wp:effectExtent l="0" t="0" r="0" b="10160"/>
          <wp:wrapTight wrapText="bothSides">
            <wp:wrapPolygon edited="0">
              <wp:start x="483" y="0"/>
              <wp:lineTo x="0" y="844"/>
              <wp:lineTo x="0" y="14344"/>
              <wp:lineTo x="1692" y="21094"/>
              <wp:lineTo x="1934" y="21094"/>
              <wp:lineTo x="3384" y="21094"/>
              <wp:lineTo x="21274" y="16875"/>
              <wp:lineTo x="21274" y="1688"/>
              <wp:lineTo x="4835" y="0"/>
              <wp:lineTo x="48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pa3/Desktop/HR Comm/HR Marks/PSU_HUM_RGB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6949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C6384E">
      <w:rPr>
        <w:rFonts w:ascii="Avenir Medium" w:hAnsi="Avenir Medium"/>
        <w:b/>
        <w:sz w:val="20"/>
        <w:szCs w:val="18"/>
      </w:rPr>
      <w:t>HR Operations</w:t>
    </w:r>
  </w:p>
  <w:p w14:paraId="3FF27652" w14:textId="77777777" w:rsidR="00E8550D" w:rsidRPr="00E35497" w:rsidRDefault="00E8550D" w:rsidP="00E8550D">
    <w:pPr>
      <w:pStyle w:val="Header"/>
      <w:jc w:val="right"/>
      <w:rPr>
        <w:rFonts w:ascii="Avenir Medium" w:hAnsi="Avenir Medium"/>
        <w:sz w:val="18"/>
      </w:rPr>
    </w:pPr>
    <w:r>
      <w:rPr>
        <w:rFonts w:ascii="Avenir Medium" w:hAnsi="Avenir Medium"/>
        <w:sz w:val="18"/>
      </w:rPr>
      <w:t>Penn State Human Resources</w:t>
    </w:r>
  </w:p>
  <w:p w14:paraId="0F211B89" w14:textId="60FD6398" w:rsidR="00C6384E" w:rsidRDefault="00E8550D" w:rsidP="00C6384E">
    <w:pPr>
      <w:pStyle w:val="Header"/>
      <w:jc w:val="right"/>
      <w:rPr>
        <w:rFonts w:ascii="Avenir Medium" w:hAnsi="Avenir Medium"/>
        <w:sz w:val="18"/>
      </w:rPr>
    </w:pPr>
    <w:r w:rsidRPr="00E8550D">
      <w:rPr>
        <w:rFonts w:ascii="Avenir Medium" w:hAnsi="Avenir Medium"/>
        <w:sz w:val="18"/>
      </w:rPr>
      <w:t xml:space="preserve"> </w:t>
    </w:r>
    <w:r w:rsidR="00C6384E">
      <w:rPr>
        <w:rFonts w:ascii="Avenir Medium" w:hAnsi="Avenir Medium"/>
        <w:sz w:val="18"/>
      </w:rPr>
      <w:t>The 331 Building, Innovation Park</w:t>
    </w:r>
  </w:p>
  <w:p w14:paraId="73E29D73" w14:textId="57BF3FCF" w:rsidR="00C6384E" w:rsidRPr="00E8550D" w:rsidRDefault="00C6384E" w:rsidP="00C6384E">
    <w:pPr>
      <w:pStyle w:val="Header"/>
      <w:jc w:val="right"/>
      <w:rPr>
        <w:rFonts w:ascii="Avenir Medium" w:hAnsi="Avenir Medium"/>
        <w:sz w:val="18"/>
      </w:rPr>
    </w:pPr>
    <w:r>
      <w:rPr>
        <w:rFonts w:ascii="Avenir Medium" w:hAnsi="Avenir Medium"/>
        <w:sz w:val="18"/>
      </w:rPr>
      <w:t>State College, PA 16802</w:t>
    </w:r>
  </w:p>
  <w:p w14:paraId="6FA024BB" w14:textId="0CADD085" w:rsidR="00A00CD9" w:rsidRPr="00A00CD9" w:rsidRDefault="00A00CD9" w:rsidP="00E8550D">
    <w:pPr>
      <w:pStyle w:val="Header"/>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0FA"/>
    <w:multiLevelType w:val="hybridMultilevel"/>
    <w:tmpl w:val="13F02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F63900"/>
    <w:multiLevelType w:val="hybridMultilevel"/>
    <w:tmpl w:val="ACE2C598"/>
    <w:lvl w:ilvl="0" w:tplc="BD0897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A34E8"/>
    <w:multiLevelType w:val="hybridMultilevel"/>
    <w:tmpl w:val="D3248AC6"/>
    <w:lvl w:ilvl="0" w:tplc="BD0897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90A4A"/>
    <w:multiLevelType w:val="hybridMultilevel"/>
    <w:tmpl w:val="EE060A42"/>
    <w:lvl w:ilvl="0" w:tplc="375E5A94">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668F1"/>
    <w:multiLevelType w:val="hybridMultilevel"/>
    <w:tmpl w:val="499EA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00A3C"/>
    <w:multiLevelType w:val="hybridMultilevel"/>
    <w:tmpl w:val="8F36B83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0A2118"/>
    <w:multiLevelType w:val="hybridMultilevel"/>
    <w:tmpl w:val="C3B8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61605"/>
    <w:multiLevelType w:val="hybridMultilevel"/>
    <w:tmpl w:val="43022700"/>
    <w:lvl w:ilvl="0" w:tplc="79286D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4431D"/>
    <w:multiLevelType w:val="hybridMultilevel"/>
    <w:tmpl w:val="DFB23F90"/>
    <w:lvl w:ilvl="0" w:tplc="F62C8340">
      <w:start w:val="1"/>
      <w:numFmt w:val="bullet"/>
      <w:lvlText w:val=""/>
      <w:lvlJc w:val="left"/>
      <w:pPr>
        <w:ind w:left="720" w:hanging="360"/>
      </w:pPr>
      <w:rPr>
        <w:rFonts w:ascii="Symbol" w:hAnsi="Symbol" w:hint="default"/>
      </w:rPr>
    </w:lvl>
    <w:lvl w:ilvl="1" w:tplc="9AA2D584">
      <w:start w:val="1"/>
      <w:numFmt w:val="bullet"/>
      <w:lvlText w:val="o"/>
      <w:lvlJc w:val="left"/>
      <w:pPr>
        <w:ind w:left="1440" w:hanging="360"/>
      </w:pPr>
      <w:rPr>
        <w:rFonts w:ascii="Courier New" w:hAnsi="Courier New" w:hint="default"/>
      </w:rPr>
    </w:lvl>
    <w:lvl w:ilvl="2" w:tplc="B2AE65A0">
      <w:start w:val="1"/>
      <w:numFmt w:val="bullet"/>
      <w:lvlText w:val=""/>
      <w:lvlJc w:val="left"/>
      <w:pPr>
        <w:ind w:left="2160" w:hanging="360"/>
      </w:pPr>
      <w:rPr>
        <w:rFonts w:ascii="Wingdings" w:hAnsi="Wingdings" w:hint="default"/>
      </w:rPr>
    </w:lvl>
    <w:lvl w:ilvl="3" w:tplc="19CC263A">
      <w:start w:val="1"/>
      <w:numFmt w:val="bullet"/>
      <w:lvlText w:val=""/>
      <w:lvlJc w:val="left"/>
      <w:pPr>
        <w:ind w:left="2880" w:hanging="360"/>
      </w:pPr>
      <w:rPr>
        <w:rFonts w:ascii="Symbol" w:hAnsi="Symbol" w:hint="default"/>
      </w:rPr>
    </w:lvl>
    <w:lvl w:ilvl="4" w:tplc="DE74BD5A">
      <w:start w:val="1"/>
      <w:numFmt w:val="bullet"/>
      <w:lvlText w:val="o"/>
      <w:lvlJc w:val="left"/>
      <w:pPr>
        <w:ind w:left="3600" w:hanging="360"/>
      </w:pPr>
      <w:rPr>
        <w:rFonts w:ascii="Courier New" w:hAnsi="Courier New" w:hint="default"/>
      </w:rPr>
    </w:lvl>
    <w:lvl w:ilvl="5" w:tplc="9C8E7D18">
      <w:start w:val="1"/>
      <w:numFmt w:val="bullet"/>
      <w:lvlText w:val=""/>
      <w:lvlJc w:val="left"/>
      <w:pPr>
        <w:ind w:left="4320" w:hanging="360"/>
      </w:pPr>
      <w:rPr>
        <w:rFonts w:ascii="Wingdings" w:hAnsi="Wingdings" w:hint="default"/>
      </w:rPr>
    </w:lvl>
    <w:lvl w:ilvl="6" w:tplc="81923590">
      <w:start w:val="1"/>
      <w:numFmt w:val="bullet"/>
      <w:lvlText w:val=""/>
      <w:lvlJc w:val="left"/>
      <w:pPr>
        <w:ind w:left="5040" w:hanging="360"/>
      </w:pPr>
      <w:rPr>
        <w:rFonts w:ascii="Symbol" w:hAnsi="Symbol" w:hint="default"/>
      </w:rPr>
    </w:lvl>
    <w:lvl w:ilvl="7" w:tplc="316A1756">
      <w:start w:val="1"/>
      <w:numFmt w:val="bullet"/>
      <w:lvlText w:val="o"/>
      <w:lvlJc w:val="left"/>
      <w:pPr>
        <w:ind w:left="5760" w:hanging="360"/>
      </w:pPr>
      <w:rPr>
        <w:rFonts w:ascii="Courier New" w:hAnsi="Courier New" w:hint="default"/>
      </w:rPr>
    </w:lvl>
    <w:lvl w:ilvl="8" w:tplc="AE1AC2F4">
      <w:start w:val="1"/>
      <w:numFmt w:val="bullet"/>
      <w:lvlText w:val=""/>
      <w:lvlJc w:val="left"/>
      <w:pPr>
        <w:ind w:left="6480" w:hanging="360"/>
      </w:pPr>
      <w:rPr>
        <w:rFonts w:ascii="Wingdings" w:hAnsi="Wingdings" w:hint="default"/>
      </w:rPr>
    </w:lvl>
  </w:abstractNum>
  <w:abstractNum w:abstractNumId="9" w15:restartNumberingAfterBreak="0">
    <w:nsid w:val="29972ECF"/>
    <w:multiLevelType w:val="hybridMultilevel"/>
    <w:tmpl w:val="D1EE0D1E"/>
    <w:lvl w:ilvl="0" w:tplc="79286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B6C97"/>
    <w:multiLevelType w:val="hybridMultilevel"/>
    <w:tmpl w:val="64BAC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516B2F"/>
    <w:multiLevelType w:val="hybridMultilevel"/>
    <w:tmpl w:val="716E1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A50138"/>
    <w:multiLevelType w:val="hybridMultilevel"/>
    <w:tmpl w:val="F6F4B0D6"/>
    <w:lvl w:ilvl="0" w:tplc="BD0897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40024"/>
    <w:multiLevelType w:val="hybridMultilevel"/>
    <w:tmpl w:val="3508D7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42368D"/>
    <w:multiLevelType w:val="multilevel"/>
    <w:tmpl w:val="1630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5C20A6"/>
    <w:multiLevelType w:val="hybridMultilevel"/>
    <w:tmpl w:val="7082A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3116A"/>
    <w:multiLevelType w:val="multilevel"/>
    <w:tmpl w:val="7588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F61238"/>
    <w:multiLevelType w:val="hybridMultilevel"/>
    <w:tmpl w:val="23863194"/>
    <w:lvl w:ilvl="0" w:tplc="FFFFFFFF">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E2217B"/>
    <w:multiLevelType w:val="hybridMultilevel"/>
    <w:tmpl w:val="970ACA3C"/>
    <w:lvl w:ilvl="0" w:tplc="1EBA2F1E">
      <w:numFmt w:val="bullet"/>
      <w:lvlText w:val="•"/>
      <w:lvlJc w:val="left"/>
      <w:pPr>
        <w:ind w:left="720" w:hanging="72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DB2CB1C6">
      <w:start w:val="7"/>
      <w:numFmt w:val="bullet"/>
      <w:lvlText w:val=""/>
      <w:lvlJc w:val="left"/>
      <w:pPr>
        <w:ind w:left="2160" w:hanging="720"/>
      </w:pPr>
      <w:rPr>
        <w:rFonts w:ascii="Symbol" w:eastAsiaTheme="minorHAnsi" w:hAnsi="Symbol"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B81437"/>
    <w:multiLevelType w:val="hybridMultilevel"/>
    <w:tmpl w:val="4FA8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162751"/>
    <w:multiLevelType w:val="multilevel"/>
    <w:tmpl w:val="00A2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666926"/>
    <w:multiLevelType w:val="hybridMultilevel"/>
    <w:tmpl w:val="3B7EA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BB7314"/>
    <w:multiLevelType w:val="hybridMultilevel"/>
    <w:tmpl w:val="17D24EB8"/>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FC18AD"/>
    <w:multiLevelType w:val="hybridMultilevel"/>
    <w:tmpl w:val="AD5C3EB0"/>
    <w:lvl w:ilvl="0" w:tplc="FFFFFFFF">
      <w:start w:val="1"/>
      <w:numFmt w:val="bullet"/>
      <w:lvlText w:val=""/>
      <w:lvlJc w:val="left"/>
      <w:pPr>
        <w:ind w:left="720" w:hanging="360"/>
      </w:pPr>
      <w:rPr>
        <w:rFonts w:ascii="Wingdings" w:hAnsi="Wingdings" w:hint="default"/>
      </w:rPr>
    </w:lvl>
    <w:lvl w:ilvl="1" w:tplc="D722F5A8">
      <w:start w:val="1"/>
      <w:numFmt w:val="bullet"/>
      <w:lvlText w:val="o"/>
      <w:lvlJc w:val="left"/>
      <w:pPr>
        <w:ind w:left="1440" w:hanging="360"/>
      </w:pPr>
      <w:rPr>
        <w:rFonts w:ascii="Courier New" w:hAnsi="Courier New" w:hint="default"/>
      </w:rPr>
    </w:lvl>
    <w:lvl w:ilvl="2" w:tplc="B8A644BA">
      <w:start w:val="1"/>
      <w:numFmt w:val="bullet"/>
      <w:lvlText w:val=""/>
      <w:lvlJc w:val="left"/>
      <w:pPr>
        <w:ind w:left="2160" w:hanging="360"/>
      </w:pPr>
      <w:rPr>
        <w:rFonts w:ascii="Wingdings" w:hAnsi="Wingdings" w:hint="default"/>
      </w:rPr>
    </w:lvl>
    <w:lvl w:ilvl="3" w:tplc="0B306F7E">
      <w:start w:val="1"/>
      <w:numFmt w:val="bullet"/>
      <w:lvlText w:val=""/>
      <w:lvlJc w:val="left"/>
      <w:pPr>
        <w:ind w:left="2880" w:hanging="360"/>
      </w:pPr>
      <w:rPr>
        <w:rFonts w:ascii="Symbol" w:hAnsi="Symbol" w:hint="default"/>
      </w:rPr>
    </w:lvl>
    <w:lvl w:ilvl="4" w:tplc="D1A42E62">
      <w:start w:val="1"/>
      <w:numFmt w:val="bullet"/>
      <w:lvlText w:val="o"/>
      <w:lvlJc w:val="left"/>
      <w:pPr>
        <w:ind w:left="3600" w:hanging="360"/>
      </w:pPr>
      <w:rPr>
        <w:rFonts w:ascii="Courier New" w:hAnsi="Courier New" w:hint="default"/>
      </w:rPr>
    </w:lvl>
    <w:lvl w:ilvl="5" w:tplc="EC74A852">
      <w:start w:val="1"/>
      <w:numFmt w:val="bullet"/>
      <w:lvlText w:val=""/>
      <w:lvlJc w:val="left"/>
      <w:pPr>
        <w:ind w:left="4320" w:hanging="360"/>
      </w:pPr>
      <w:rPr>
        <w:rFonts w:ascii="Wingdings" w:hAnsi="Wingdings" w:hint="default"/>
      </w:rPr>
    </w:lvl>
    <w:lvl w:ilvl="6" w:tplc="F7CC0468">
      <w:start w:val="1"/>
      <w:numFmt w:val="bullet"/>
      <w:lvlText w:val=""/>
      <w:lvlJc w:val="left"/>
      <w:pPr>
        <w:ind w:left="5040" w:hanging="360"/>
      </w:pPr>
      <w:rPr>
        <w:rFonts w:ascii="Symbol" w:hAnsi="Symbol" w:hint="default"/>
      </w:rPr>
    </w:lvl>
    <w:lvl w:ilvl="7" w:tplc="7D3868FA">
      <w:start w:val="1"/>
      <w:numFmt w:val="bullet"/>
      <w:lvlText w:val="o"/>
      <w:lvlJc w:val="left"/>
      <w:pPr>
        <w:ind w:left="5760" w:hanging="360"/>
      </w:pPr>
      <w:rPr>
        <w:rFonts w:ascii="Courier New" w:hAnsi="Courier New" w:hint="default"/>
      </w:rPr>
    </w:lvl>
    <w:lvl w:ilvl="8" w:tplc="9E50019C">
      <w:start w:val="1"/>
      <w:numFmt w:val="bullet"/>
      <w:lvlText w:val=""/>
      <w:lvlJc w:val="left"/>
      <w:pPr>
        <w:ind w:left="6480" w:hanging="360"/>
      </w:pPr>
      <w:rPr>
        <w:rFonts w:ascii="Wingdings" w:hAnsi="Wingdings" w:hint="default"/>
      </w:rPr>
    </w:lvl>
  </w:abstractNum>
  <w:abstractNum w:abstractNumId="24" w15:restartNumberingAfterBreak="0">
    <w:nsid w:val="697B5687"/>
    <w:multiLevelType w:val="hybridMultilevel"/>
    <w:tmpl w:val="A184AE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764DC"/>
    <w:multiLevelType w:val="hybridMultilevel"/>
    <w:tmpl w:val="3CEEC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446EFD"/>
    <w:multiLevelType w:val="hybridMultilevel"/>
    <w:tmpl w:val="834ED5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BA1DFD"/>
    <w:multiLevelType w:val="hybridMultilevel"/>
    <w:tmpl w:val="49FE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A53BEA"/>
    <w:multiLevelType w:val="multilevel"/>
    <w:tmpl w:val="84E4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533049"/>
    <w:multiLevelType w:val="hybridMultilevel"/>
    <w:tmpl w:val="3D54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CA5517"/>
    <w:multiLevelType w:val="hybridMultilevel"/>
    <w:tmpl w:val="28A0E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3"/>
  </w:num>
  <w:num w:numId="4">
    <w:abstractNumId w:val="16"/>
  </w:num>
  <w:num w:numId="5">
    <w:abstractNumId w:val="14"/>
  </w:num>
  <w:num w:numId="6">
    <w:abstractNumId w:val="20"/>
  </w:num>
  <w:num w:numId="7">
    <w:abstractNumId w:val="28"/>
  </w:num>
  <w:num w:numId="8">
    <w:abstractNumId w:val="30"/>
  </w:num>
  <w:num w:numId="9">
    <w:abstractNumId w:val="11"/>
  </w:num>
  <w:num w:numId="10">
    <w:abstractNumId w:val="10"/>
  </w:num>
  <w:num w:numId="11">
    <w:abstractNumId w:val="19"/>
  </w:num>
  <w:num w:numId="12">
    <w:abstractNumId w:val="7"/>
  </w:num>
  <w:num w:numId="13">
    <w:abstractNumId w:val="9"/>
  </w:num>
  <w:num w:numId="14">
    <w:abstractNumId w:val="29"/>
  </w:num>
  <w:num w:numId="15">
    <w:abstractNumId w:val="27"/>
  </w:num>
  <w:num w:numId="16">
    <w:abstractNumId w:val="21"/>
  </w:num>
  <w:num w:numId="17">
    <w:abstractNumId w:val="15"/>
  </w:num>
  <w:num w:numId="18">
    <w:abstractNumId w:val="1"/>
  </w:num>
  <w:num w:numId="19">
    <w:abstractNumId w:val="2"/>
  </w:num>
  <w:num w:numId="20">
    <w:abstractNumId w:val="12"/>
  </w:num>
  <w:num w:numId="21">
    <w:abstractNumId w:val="26"/>
  </w:num>
  <w:num w:numId="22">
    <w:abstractNumId w:val="5"/>
  </w:num>
  <w:num w:numId="23">
    <w:abstractNumId w:val="23"/>
  </w:num>
  <w:num w:numId="24">
    <w:abstractNumId w:val="22"/>
  </w:num>
  <w:num w:numId="25">
    <w:abstractNumId w:val="24"/>
  </w:num>
  <w:num w:numId="26">
    <w:abstractNumId w:val="25"/>
  </w:num>
  <w:num w:numId="27">
    <w:abstractNumId w:val="17"/>
  </w:num>
  <w:num w:numId="28">
    <w:abstractNumId w:val="6"/>
  </w:num>
  <w:num w:numId="29">
    <w:abstractNumId w:val="4"/>
  </w:num>
  <w:num w:numId="30">
    <w:abstractNumId w:val="1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CD9"/>
    <w:rsid w:val="0007688F"/>
    <w:rsid w:val="000A0BA2"/>
    <w:rsid w:val="001A1252"/>
    <w:rsid w:val="001C55A8"/>
    <w:rsid w:val="002719FA"/>
    <w:rsid w:val="002B0C31"/>
    <w:rsid w:val="002C2BA5"/>
    <w:rsid w:val="0031575E"/>
    <w:rsid w:val="00344ED0"/>
    <w:rsid w:val="003A43E8"/>
    <w:rsid w:val="00412404"/>
    <w:rsid w:val="004304B5"/>
    <w:rsid w:val="00447724"/>
    <w:rsid w:val="004C48A4"/>
    <w:rsid w:val="004E6ACC"/>
    <w:rsid w:val="00526DF1"/>
    <w:rsid w:val="005728B6"/>
    <w:rsid w:val="005731C8"/>
    <w:rsid w:val="00595AC4"/>
    <w:rsid w:val="00626301"/>
    <w:rsid w:val="006C68E0"/>
    <w:rsid w:val="006E7D1A"/>
    <w:rsid w:val="00705D0D"/>
    <w:rsid w:val="007162E7"/>
    <w:rsid w:val="00730AE7"/>
    <w:rsid w:val="0075161A"/>
    <w:rsid w:val="00765F8B"/>
    <w:rsid w:val="007757BA"/>
    <w:rsid w:val="0079093C"/>
    <w:rsid w:val="00795204"/>
    <w:rsid w:val="007F1454"/>
    <w:rsid w:val="008033AA"/>
    <w:rsid w:val="008454DC"/>
    <w:rsid w:val="008460FB"/>
    <w:rsid w:val="008C5960"/>
    <w:rsid w:val="008C78B2"/>
    <w:rsid w:val="008E0D31"/>
    <w:rsid w:val="009034E9"/>
    <w:rsid w:val="00914A61"/>
    <w:rsid w:val="0093542A"/>
    <w:rsid w:val="00965F59"/>
    <w:rsid w:val="009675E8"/>
    <w:rsid w:val="00973EA8"/>
    <w:rsid w:val="00995CB5"/>
    <w:rsid w:val="009E15BB"/>
    <w:rsid w:val="009E1764"/>
    <w:rsid w:val="00A00CD9"/>
    <w:rsid w:val="00A5168C"/>
    <w:rsid w:val="00A65346"/>
    <w:rsid w:val="00AC787F"/>
    <w:rsid w:val="00AF03B6"/>
    <w:rsid w:val="00B11867"/>
    <w:rsid w:val="00B56ADA"/>
    <w:rsid w:val="00B6251F"/>
    <w:rsid w:val="00B71E66"/>
    <w:rsid w:val="00C071DB"/>
    <w:rsid w:val="00C22680"/>
    <w:rsid w:val="00C5169E"/>
    <w:rsid w:val="00C62BC9"/>
    <w:rsid w:val="00C6384E"/>
    <w:rsid w:val="00C81173"/>
    <w:rsid w:val="00C87097"/>
    <w:rsid w:val="00C90CAD"/>
    <w:rsid w:val="00CA39CF"/>
    <w:rsid w:val="00CD540F"/>
    <w:rsid w:val="00CF0598"/>
    <w:rsid w:val="00D10CBB"/>
    <w:rsid w:val="00D16995"/>
    <w:rsid w:val="00D35BF8"/>
    <w:rsid w:val="00D550BC"/>
    <w:rsid w:val="00DF2800"/>
    <w:rsid w:val="00E35497"/>
    <w:rsid w:val="00E43B8A"/>
    <w:rsid w:val="00E52599"/>
    <w:rsid w:val="00E8550D"/>
    <w:rsid w:val="00EC4634"/>
    <w:rsid w:val="00F006BA"/>
    <w:rsid w:val="00F12CB5"/>
    <w:rsid w:val="00F5241C"/>
    <w:rsid w:val="00F77349"/>
    <w:rsid w:val="00F93670"/>
    <w:rsid w:val="00FA6E89"/>
    <w:rsid w:val="00FC7CAF"/>
    <w:rsid w:val="0DE0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D50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CD9"/>
    <w:pPr>
      <w:tabs>
        <w:tab w:val="center" w:pos="4680"/>
        <w:tab w:val="right" w:pos="9360"/>
      </w:tabs>
    </w:pPr>
  </w:style>
  <w:style w:type="character" w:customStyle="1" w:styleId="HeaderChar">
    <w:name w:val="Header Char"/>
    <w:basedOn w:val="DefaultParagraphFont"/>
    <w:link w:val="Header"/>
    <w:uiPriority w:val="99"/>
    <w:rsid w:val="00A00CD9"/>
  </w:style>
  <w:style w:type="paragraph" w:styleId="Footer">
    <w:name w:val="footer"/>
    <w:basedOn w:val="Normal"/>
    <w:link w:val="FooterChar"/>
    <w:uiPriority w:val="99"/>
    <w:unhideWhenUsed/>
    <w:rsid w:val="00A00CD9"/>
    <w:pPr>
      <w:tabs>
        <w:tab w:val="center" w:pos="4680"/>
        <w:tab w:val="right" w:pos="9360"/>
      </w:tabs>
    </w:pPr>
  </w:style>
  <w:style w:type="character" w:customStyle="1" w:styleId="FooterChar">
    <w:name w:val="Footer Char"/>
    <w:basedOn w:val="DefaultParagraphFont"/>
    <w:link w:val="Footer"/>
    <w:uiPriority w:val="99"/>
    <w:rsid w:val="00A00CD9"/>
  </w:style>
  <w:style w:type="paragraph" w:styleId="BalloonText">
    <w:name w:val="Balloon Text"/>
    <w:basedOn w:val="Normal"/>
    <w:link w:val="BalloonTextChar"/>
    <w:uiPriority w:val="99"/>
    <w:semiHidden/>
    <w:unhideWhenUsed/>
    <w:rsid w:val="00E354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497"/>
    <w:rPr>
      <w:rFonts w:ascii="Segoe UI" w:hAnsi="Segoe UI" w:cs="Segoe UI"/>
      <w:sz w:val="18"/>
      <w:szCs w:val="18"/>
    </w:rPr>
  </w:style>
  <w:style w:type="paragraph" w:styleId="ListParagraph">
    <w:name w:val="List Paragraph"/>
    <w:basedOn w:val="Normal"/>
    <w:uiPriority w:val="34"/>
    <w:qFormat/>
    <w:rsid w:val="00CF0598"/>
    <w:pPr>
      <w:ind w:left="720"/>
      <w:contextualSpacing/>
    </w:pPr>
    <w:rPr>
      <w:rFonts w:ascii="Times New Roman" w:eastAsia="Times New Roman" w:hAnsi="Times New Roman" w:cs="Times New Roman"/>
    </w:rPr>
  </w:style>
  <w:style w:type="character" w:styleId="PageNumber">
    <w:name w:val="page number"/>
    <w:basedOn w:val="DefaultParagraphFont"/>
    <w:uiPriority w:val="99"/>
    <w:semiHidden/>
    <w:unhideWhenUsed/>
    <w:rsid w:val="004C48A4"/>
  </w:style>
  <w:style w:type="table" w:styleId="TableGrid">
    <w:name w:val="Table Grid"/>
    <w:basedOn w:val="TableNormal"/>
    <w:uiPriority w:val="39"/>
    <w:rsid w:val="00973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39CF"/>
    <w:rPr>
      <w:sz w:val="16"/>
      <w:szCs w:val="16"/>
    </w:rPr>
  </w:style>
  <w:style w:type="paragraph" w:styleId="CommentText">
    <w:name w:val="annotation text"/>
    <w:basedOn w:val="Normal"/>
    <w:link w:val="CommentTextChar"/>
    <w:uiPriority w:val="99"/>
    <w:semiHidden/>
    <w:unhideWhenUsed/>
    <w:rsid w:val="00CA39CF"/>
    <w:rPr>
      <w:sz w:val="20"/>
      <w:szCs w:val="20"/>
    </w:rPr>
  </w:style>
  <w:style w:type="character" w:customStyle="1" w:styleId="CommentTextChar">
    <w:name w:val="Comment Text Char"/>
    <w:basedOn w:val="DefaultParagraphFont"/>
    <w:link w:val="CommentText"/>
    <w:uiPriority w:val="99"/>
    <w:semiHidden/>
    <w:rsid w:val="00CA39CF"/>
    <w:rPr>
      <w:sz w:val="20"/>
      <w:szCs w:val="20"/>
    </w:rPr>
  </w:style>
  <w:style w:type="paragraph" w:styleId="CommentSubject">
    <w:name w:val="annotation subject"/>
    <w:basedOn w:val="CommentText"/>
    <w:next w:val="CommentText"/>
    <w:link w:val="CommentSubjectChar"/>
    <w:uiPriority w:val="99"/>
    <w:semiHidden/>
    <w:unhideWhenUsed/>
    <w:rsid w:val="00CA39CF"/>
    <w:rPr>
      <w:b/>
      <w:bCs/>
    </w:rPr>
  </w:style>
  <w:style w:type="character" w:customStyle="1" w:styleId="CommentSubjectChar">
    <w:name w:val="Comment Subject Char"/>
    <w:basedOn w:val="CommentTextChar"/>
    <w:link w:val="CommentSubject"/>
    <w:uiPriority w:val="99"/>
    <w:semiHidden/>
    <w:rsid w:val="00CA39CF"/>
    <w:rPr>
      <w:b/>
      <w:bCs/>
      <w:sz w:val="20"/>
      <w:szCs w:val="20"/>
    </w:rPr>
  </w:style>
  <w:style w:type="paragraph" w:styleId="Revision">
    <w:name w:val="Revision"/>
    <w:hidden/>
    <w:uiPriority w:val="99"/>
    <w:semiHidden/>
    <w:rsid w:val="00B71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6347A8-8DC7-4D6C-B0CE-53EB657D3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532</Words>
  <Characters>3036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Cauvel, Erika Dianne</cp:lastModifiedBy>
  <cp:revision>2</cp:revision>
  <cp:lastPrinted>2017-03-03T18:23:00Z</cp:lastPrinted>
  <dcterms:created xsi:type="dcterms:W3CDTF">2018-09-10T14:30:00Z</dcterms:created>
  <dcterms:modified xsi:type="dcterms:W3CDTF">2018-09-10T14:30:00Z</dcterms:modified>
</cp:coreProperties>
</file>